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B0" w:rsidRDefault="00877DD4">
      <w:pPr>
        <w:spacing w:after="203" w:line="240" w:lineRule="auto"/>
        <w:ind w:left="3978"/>
      </w:pPr>
      <w:bookmarkStart w:id="0" w:name="_GoBack"/>
      <w:bookmarkEnd w:id="0"/>
      <w:r>
        <w:t xml:space="preserve"> </w:t>
      </w:r>
    </w:p>
    <w:p w:rsidR="00D14FB0" w:rsidRDefault="00877DD4">
      <w:pPr>
        <w:spacing w:after="185" w:line="240" w:lineRule="auto"/>
        <w:jc w:val="center"/>
      </w:pPr>
      <w:r>
        <w:rPr>
          <w:rFonts w:ascii="Cambria" w:eastAsia="Cambria" w:hAnsi="Cambria" w:cs="Cambria"/>
          <w:b/>
          <w:color w:val="222222"/>
          <w:u w:val="single" w:color="222222"/>
        </w:rPr>
        <w:t>CHOICE OF NOMINATION</w:t>
      </w:r>
      <w:r>
        <w:rPr>
          <w:rFonts w:ascii="Cambria" w:eastAsia="Cambria" w:hAnsi="Cambria" w:cs="Cambria"/>
          <w:b/>
          <w:color w:val="222222"/>
        </w:rPr>
        <w:t xml:space="preserve"> </w:t>
      </w:r>
    </w:p>
    <w:p w:rsidR="00D14FB0" w:rsidRDefault="00877DD4">
      <w:pPr>
        <w:spacing w:after="24" w:line="240" w:lineRule="auto"/>
        <w:ind w:left="1311"/>
      </w:pPr>
      <w:r>
        <w:rPr>
          <w:rFonts w:ascii="Cambria" w:eastAsia="Cambria" w:hAnsi="Cambria" w:cs="Cambria"/>
          <w:b/>
          <w:i/>
          <w:color w:val="222222"/>
        </w:rPr>
        <w:t xml:space="preserve">Ref.: SEBI Circular SEBI/HO/MIRSD/POD-1/P/CIR/2024/81 dated June 10, 2024 </w:t>
      </w:r>
    </w:p>
    <w:p w:rsidR="00D14FB0" w:rsidRDefault="00877DD4">
      <w:pPr>
        <w:spacing w:after="26" w:line="240" w:lineRule="auto"/>
        <w:ind w:left="708"/>
      </w:pPr>
      <w:r>
        <w:rPr>
          <w:rFonts w:ascii="Cambria" w:eastAsia="Cambria" w:hAnsi="Cambria" w:cs="Cambria"/>
          <w:color w:val="222222"/>
        </w:rPr>
        <w:t xml:space="preserve"> </w:t>
      </w:r>
    </w:p>
    <w:p w:rsidR="00D14FB0" w:rsidRDefault="00877DD4">
      <w:pPr>
        <w:spacing w:after="154" w:line="240" w:lineRule="auto"/>
        <w:ind w:left="708"/>
      </w:pPr>
      <w:r>
        <w:rPr>
          <w:rFonts w:ascii="Cambria" w:eastAsia="Cambria" w:hAnsi="Cambria" w:cs="Cambria"/>
          <w:color w:val="222222"/>
        </w:rPr>
        <w:t xml:space="preserve"> </w:t>
      </w:r>
    </w:p>
    <w:p w:rsidR="00D14FB0" w:rsidRDefault="00877DD4">
      <w:pPr>
        <w:spacing w:after="153" w:line="357" w:lineRule="auto"/>
        <w:ind w:left="703" w:right="378" w:hanging="10"/>
        <w:jc w:val="both"/>
      </w:pPr>
      <w:r>
        <w:rPr>
          <w:rFonts w:ascii="Cambria" w:eastAsia="Cambria" w:hAnsi="Cambria" w:cs="Cambria"/>
          <w:color w:val="222222"/>
        </w:rPr>
        <w:t xml:space="preserve">Nomination is a facility that enables an individual investor to nominate a person, who can claim the securities held by him/ her in their </w:t>
      </w:r>
      <w:proofErr w:type="spellStart"/>
      <w:r>
        <w:rPr>
          <w:rFonts w:ascii="Cambria" w:eastAsia="Cambria" w:hAnsi="Cambria" w:cs="Cambria"/>
          <w:color w:val="222222"/>
        </w:rPr>
        <w:t>demat</w:t>
      </w:r>
      <w:proofErr w:type="spellEnd"/>
      <w:r>
        <w:rPr>
          <w:rFonts w:ascii="Cambria" w:eastAsia="Cambria" w:hAnsi="Cambria" w:cs="Cambria"/>
          <w:color w:val="222222"/>
        </w:rPr>
        <w:t xml:space="preserve"> accounts or the redemption proceeds thereof (in respect of mutual fund units) in the event of demise of the inve</w:t>
      </w:r>
      <w:r>
        <w:rPr>
          <w:rFonts w:ascii="Cambria" w:eastAsia="Cambria" w:hAnsi="Cambria" w:cs="Cambria"/>
          <w:color w:val="222222"/>
        </w:rPr>
        <w:t xml:space="preserve">stor. </w:t>
      </w:r>
    </w:p>
    <w:p w:rsidR="00D14FB0" w:rsidRDefault="00877DD4">
      <w:pPr>
        <w:spacing w:after="157" w:line="240" w:lineRule="auto"/>
        <w:ind w:left="708"/>
      </w:pPr>
      <w:r>
        <w:rPr>
          <w:rFonts w:ascii="Cambria" w:eastAsia="Cambria" w:hAnsi="Cambria" w:cs="Cambria"/>
          <w:color w:val="222222"/>
        </w:rPr>
        <w:t xml:space="preserve"> </w:t>
      </w:r>
    </w:p>
    <w:p w:rsidR="00D14FB0" w:rsidRDefault="00877DD4">
      <w:pPr>
        <w:spacing w:after="341" w:line="272" w:lineRule="auto"/>
        <w:ind w:left="703" w:right="-15" w:hanging="10"/>
        <w:jc w:val="both"/>
      </w:pPr>
      <w:r>
        <w:rPr>
          <w:rFonts w:ascii="Cambria" w:eastAsia="Cambria" w:hAnsi="Cambria" w:cs="Cambria"/>
          <w:color w:val="222222"/>
        </w:rPr>
        <w:t xml:space="preserve">Investors are provided with two options regarding Nomination for </w:t>
      </w:r>
      <w:proofErr w:type="spellStart"/>
      <w:r>
        <w:rPr>
          <w:rFonts w:ascii="Cambria" w:eastAsia="Cambria" w:hAnsi="Cambria" w:cs="Cambria"/>
          <w:color w:val="222222"/>
        </w:rPr>
        <w:t>Demat</w:t>
      </w:r>
      <w:proofErr w:type="spellEnd"/>
      <w:r>
        <w:rPr>
          <w:rFonts w:ascii="Cambria" w:eastAsia="Cambria" w:hAnsi="Cambria" w:cs="Cambria"/>
          <w:color w:val="222222"/>
        </w:rPr>
        <w:t xml:space="preserve"> Account/Mutual Fund units: </w:t>
      </w:r>
    </w:p>
    <w:p w:rsidR="00D14FB0" w:rsidRDefault="00877DD4">
      <w:pPr>
        <w:numPr>
          <w:ilvl w:val="0"/>
          <w:numId w:val="1"/>
        </w:numPr>
        <w:spacing w:after="153" w:line="240" w:lineRule="auto"/>
        <w:ind w:right="-15" w:hanging="360"/>
        <w:jc w:val="both"/>
      </w:pPr>
      <w:r>
        <w:rPr>
          <w:rFonts w:ascii="Cambria" w:eastAsia="Cambria" w:hAnsi="Cambria" w:cs="Cambria"/>
          <w:color w:val="222222"/>
        </w:rPr>
        <w:t xml:space="preserve">Providing nomination in the specified format. </w:t>
      </w:r>
    </w:p>
    <w:p w:rsidR="00D14FB0" w:rsidRDefault="00877DD4">
      <w:pPr>
        <w:numPr>
          <w:ilvl w:val="0"/>
          <w:numId w:val="1"/>
        </w:numPr>
        <w:spacing w:after="432" w:line="357" w:lineRule="auto"/>
        <w:ind w:right="-15" w:hanging="360"/>
        <w:jc w:val="both"/>
      </w:pPr>
      <w:r>
        <w:rPr>
          <w:rFonts w:ascii="Cambria" w:eastAsia="Cambria" w:hAnsi="Cambria" w:cs="Cambria"/>
          <w:color w:val="222222"/>
        </w:rPr>
        <w:t xml:space="preserve">Opting out of nomination through prescribed declaration form. </w:t>
      </w:r>
    </w:p>
    <w:p w:rsidR="00D14FB0" w:rsidRDefault="00877DD4">
      <w:pPr>
        <w:spacing w:after="426" w:line="357" w:lineRule="auto"/>
        <w:ind w:left="703" w:right="-15" w:hanging="10"/>
        <w:jc w:val="both"/>
      </w:pPr>
      <w:r>
        <w:rPr>
          <w:rFonts w:ascii="Cambria" w:eastAsia="Cambria" w:hAnsi="Cambria" w:cs="Cambria"/>
          <w:color w:val="222222"/>
        </w:rPr>
        <w:t xml:space="preserve">Earlier the deadline for nomination/opting out of nomination for mutual fund folios/ </w:t>
      </w:r>
      <w:proofErr w:type="spellStart"/>
      <w:r>
        <w:rPr>
          <w:rFonts w:ascii="Cambria" w:eastAsia="Cambria" w:hAnsi="Cambria" w:cs="Cambria"/>
          <w:color w:val="222222"/>
        </w:rPr>
        <w:t>demat</w:t>
      </w:r>
      <w:proofErr w:type="spellEnd"/>
      <w:r>
        <w:rPr>
          <w:rFonts w:ascii="Cambria" w:eastAsia="Cambria" w:hAnsi="Cambria" w:cs="Cambria"/>
          <w:color w:val="222222"/>
        </w:rPr>
        <w:t xml:space="preserve"> Account </w:t>
      </w:r>
      <w:proofErr w:type="gramStart"/>
      <w:r>
        <w:rPr>
          <w:rFonts w:ascii="Cambria" w:eastAsia="Cambria" w:hAnsi="Cambria" w:cs="Cambria"/>
          <w:color w:val="222222"/>
        </w:rPr>
        <w:t>was</w:t>
      </w:r>
      <w:proofErr w:type="gramEnd"/>
      <w:r>
        <w:rPr>
          <w:rFonts w:ascii="Cambria" w:eastAsia="Cambria" w:hAnsi="Cambria" w:cs="Cambria"/>
          <w:color w:val="222222"/>
        </w:rPr>
        <w:t xml:space="preserve"> December 31, 2023. This is further </w:t>
      </w:r>
      <w:r>
        <w:rPr>
          <w:rFonts w:ascii="Cambria" w:eastAsia="Cambria" w:hAnsi="Cambria" w:cs="Cambria"/>
          <w:b/>
          <w:color w:val="222222"/>
        </w:rPr>
        <w:t>extended till June 30, 2024</w:t>
      </w:r>
      <w:r>
        <w:rPr>
          <w:rFonts w:ascii="Cambria" w:eastAsia="Cambria" w:hAnsi="Cambria" w:cs="Cambria"/>
          <w:color w:val="222222"/>
        </w:rPr>
        <w:t xml:space="preserve">.  </w:t>
      </w:r>
    </w:p>
    <w:p w:rsidR="00D14FB0" w:rsidRDefault="00877DD4">
      <w:pPr>
        <w:spacing w:after="426" w:line="359" w:lineRule="auto"/>
        <w:ind w:left="708"/>
      </w:pPr>
      <w:r>
        <w:rPr>
          <w:rFonts w:ascii="Cambria" w:eastAsia="Cambria" w:hAnsi="Cambria" w:cs="Cambria"/>
          <w:color w:val="222222"/>
        </w:rPr>
        <w:t>If the investors do not “nominate” or “opt-out” of nomination by June 30, 2024, their f</w:t>
      </w:r>
      <w:r>
        <w:rPr>
          <w:rFonts w:ascii="Cambria" w:eastAsia="Cambria" w:hAnsi="Cambria" w:cs="Cambria"/>
          <w:color w:val="222222"/>
        </w:rPr>
        <w:t xml:space="preserve">olios/ </w:t>
      </w:r>
      <w:proofErr w:type="spellStart"/>
      <w:r>
        <w:rPr>
          <w:rFonts w:ascii="Cambria" w:eastAsia="Cambria" w:hAnsi="Cambria" w:cs="Cambria"/>
          <w:color w:val="222222"/>
        </w:rPr>
        <w:t>demat</w:t>
      </w:r>
      <w:proofErr w:type="spellEnd"/>
      <w:r>
        <w:rPr>
          <w:rFonts w:ascii="Cambria" w:eastAsia="Cambria" w:hAnsi="Cambria" w:cs="Cambria"/>
          <w:color w:val="222222"/>
        </w:rPr>
        <w:t xml:space="preserve"> account will be frozen. </w:t>
      </w:r>
    </w:p>
    <w:p w:rsidR="00D14FB0" w:rsidRDefault="00877DD4">
      <w:pPr>
        <w:spacing w:after="150" w:line="356" w:lineRule="auto"/>
        <w:ind w:left="708"/>
      </w:pPr>
      <w:r>
        <w:rPr>
          <w:rFonts w:ascii="Cambria" w:eastAsia="Cambria" w:hAnsi="Cambria" w:cs="Cambria"/>
          <w:b/>
          <w:color w:val="222222"/>
        </w:rPr>
        <w:t>Note: - The choice of nomination (nomination/ opting out of nomination) for trading accounts is voluntary.</w:t>
      </w:r>
      <w:r>
        <w:rPr>
          <w:rFonts w:ascii="Cambria" w:eastAsia="Cambria" w:hAnsi="Cambria" w:cs="Cambria"/>
          <w:color w:val="222222"/>
        </w:rPr>
        <w:t xml:space="preserve"> </w:t>
      </w:r>
    </w:p>
    <w:p w:rsidR="00D14FB0" w:rsidRDefault="00877DD4">
      <w:pPr>
        <w:spacing w:after="204" w:line="240" w:lineRule="auto"/>
        <w:ind w:left="708"/>
      </w:pPr>
      <w:r>
        <w:rPr>
          <w:rFonts w:ascii="Cambria" w:eastAsia="Cambria" w:hAnsi="Cambria" w:cs="Cambria"/>
        </w:rPr>
        <w:t xml:space="preserve"> </w:t>
      </w:r>
    </w:p>
    <w:p w:rsidR="00D14FB0" w:rsidRDefault="00877DD4">
      <w:pPr>
        <w:spacing w:after="203" w:line="259" w:lineRule="auto"/>
        <w:ind w:left="708"/>
      </w:pPr>
      <w:r>
        <w:rPr>
          <w:rFonts w:ascii="Cambria" w:eastAsia="Cambria" w:hAnsi="Cambria" w:cs="Cambria"/>
        </w:rPr>
        <w:t>SEBI Circular</w:t>
      </w:r>
      <w:hyperlink r:id="rId7">
        <w:r>
          <w:rPr>
            <w:rFonts w:ascii="Cambria" w:eastAsia="Cambria" w:hAnsi="Cambria" w:cs="Cambria"/>
          </w:rPr>
          <w:t xml:space="preserve">: </w:t>
        </w:r>
      </w:hyperlink>
      <w:hyperlink r:id="rId8">
        <w:r>
          <w:rPr>
            <w:rFonts w:ascii="Cambria" w:eastAsia="Cambria" w:hAnsi="Cambria" w:cs="Cambria"/>
            <w:color w:val="0563C1"/>
            <w:u w:val="single" w:color="0563C1"/>
          </w:rPr>
          <w:t>https://www.sebi.gov.in/legal/circulars/jun-2024/-a-e</w:t>
        </w:r>
        <w:r>
          <w:rPr>
            <w:rFonts w:ascii="Cambria" w:eastAsia="Cambria" w:hAnsi="Cambria" w:cs="Cambria"/>
            <w:color w:val="0563C1"/>
            <w:u w:val="single" w:color="0563C1"/>
          </w:rPr>
          <w:t>ase-of-doing-investments</w:t>
        </w:r>
      </w:hyperlink>
      <w:hyperlink r:id="rId9">
        <w:r>
          <w:rPr>
            <w:rFonts w:ascii="Cambria" w:eastAsia="Cambria" w:hAnsi="Cambria" w:cs="Cambria"/>
            <w:color w:val="0563C1"/>
            <w:u w:val="single" w:color="0563C1"/>
          </w:rPr>
          <w:t>non-submission-of-choice-of-nomination-_84053.html</w:t>
        </w:r>
      </w:hyperlink>
      <w:hyperlink r:id="rId10">
        <w:r>
          <w:rPr>
            <w:rFonts w:ascii="Cambria" w:eastAsia="Cambria" w:hAnsi="Cambria" w:cs="Cambria"/>
          </w:rPr>
          <w:t xml:space="preserve"> </w:t>
        </w:r>
      </w:hyperlink>
      <w:r>
        <w:rPr>
          <w:rFonts w:ascii="Cambria" w:eastAsia="Cambria" w:hAnsi="Cambria" w:cs="Cambria"/>
        </w:rPr>
        <w:t xml:space="preserve"> </w:t>
      </w:r>
    </w:p>
    <w:p w:rsidR="00D14FB0" w:rsidRDefault="00877DD4">
      <w:pPr>
        <w:spacing w:after="3887" w:line="240" w:lineRule="auto"/>
        <w:ind w:left="708"/>
      </w:pPr>
      <w:r>
        <w:rPr>
          <w:rFonts w:ascii="Cambria" w:eastAsia="Cambria" w:hAnsi="Cambria" w:cs="Cambria"/>
        </w:rPr>
        <w:t xml:space="preserve"> </w:t>
      </w:r>
    </w:p>
    <w:sectPr w:rsidR="00D14FB0">
      <w:headerReference w:type="default" r:id="rId11"/>
      <w:pgSz w:w="11906" w:h="16838"/>
      <w:pgMar w:top="1440" w:right="1019" w:bottom="1440" w:left="7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D4" w:rsidRDefault="00877DD4" w:rsidP="00780DB7">
      <w:pPr>
        <w:spacing w:line="240" w:lineRule="auto"/>
      </w:pPr>
      <w:r>
        <w:separator/>
      </w:r>
    </w:p>
  </w:endnote>
  <w:endnote w:type="continuationSeparator" w:id="0">
    <w:p w:rsidR="00877DD4" w:rsidRDefault="00877DD4" w:rsidP="00780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D4" w:rsidRDefault="00877DD4" w:rsidP="00780DB7">
      <w:pPr>
        <w:spacing w:line="240" w:lineRule="auto"/>
      </w:pPr>
      <w:r>
        <w:separator/>
      </w:r>
    </w:p>
  </w:footnote>
  <w:footnote w:type="continuationSeparator" w:id="0">
    <w:p w:rsidR="00877DD4" w:rsidRDefault="00877DD4" w:rsidP="00780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B7" w:rsidRDefault="00780DB7">
    <w:pPr>
      <w:pStyle w:val="Header"/>
    </w:pPr>
    <w:r>
      <w:rPr>
        <w:rFonts w:ascii="Times" w:hAnsi="Times"/>
        <w:noProof/>
        <w:sz w:val="56"/>
        <w:szCs w:val="144"/>
      </w:rPr>
      <w:drawing>
        <wp:inline distT="0" distB="0" distL="0" distR="0" wp14:anchorId="10515A8A" wp14:editId="1C0B249F">
          <wp:extent cx="631779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01" cy="83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/>
        <w:sz w:val="56"/>
        <w:szCs w:val="144"/>
      </w:rPr>
      <w:tab/>
    </w:r>
    <w:r>
      <w:rPr>
        <w:rFonts w:ascii="Times" w:hAnsi="Times"/>
        <w:sz w:val="56"/>
        <w:szCs w:val="1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E0452"/>
    <w:multiLevelType w:val="hybridMultilevel"/>
    <w:tmpl w:val="BE5A39D4"/>
    <w:lvl w:ilvl="0" w:tplc="D8109474">
      <w:start w:val="1"/>
      <w:numFmt w:val="decimal"/>
      <w:lvlText w:val="%1."/>
      <w:lvlJc w:val="left"/>
      <w:pPr>
        <w:ind w:left="198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165E1E">
      <w:start w:val="1"/>
      <w:numFmt w:val="lowerLetter"/>
      <w:lvlText w:val="%2"/>
      <w:lvlJc w:val="left"/>
      <w:pPr>
        <w:ind w:left="270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CC2F4">
      <w:start w:val="1"/>
      <w:numFmt w:val="lowerRoman"/>
      <w:lvlText w:val="%3"/>
      <w:lvlJc w:val="left"/>
      <w:pPr>
        <w:ind w:left="342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E6D38">
      <w:start w:val="1"/>
      <w:numFmt w:val="decimal"/>
      <w:lvlText w:val="%4"/>
      <w:lvlJc w:val="left"/>
      <w:pPr>
        <w:ind w:left="414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AC836">
      <w:start w:val="1"/>
      <w:numFmt w:val="lowerLetter"/>
      <w:lvlText w:val="%5"/>
      <w:lvlJc w:val="left"/>
      <w:pPr>
        <w:ind w:left="486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22339A">
      <w:start w:val="1"/>
      <w:numFmt w:val="lowerRoman"/>
      <w:lvlText w:val="%6"/>
      <w:lvlJc w:val="left"/>
      <w:pPr>
        <w:ind w:left="558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82CF60">
      <w:start w:val="1"/>
      <w:numFmt w:val="decimal"/>
      <w:lvlText w:val="%7"/>
      <w:lvlJc w:val="left"/>
      <w:pPr>
        <w:ind w:left="630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44D1A">
      <w:start w:val="1"/>
      <w:numFmt w:val="lowerLetter"/>
      <w:lvlText w:val="%8"/>
      <w:lvlJc w:val="left"/>
      <w:pPr>
        <w:ind w:left="702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72CE48">
      <w:start w:val="1"/>
      <w:numFmt w:val="lowerRoman"/>
      <w:lvlText w:val="%9"/>
      <w:lvlJc w:val="left"/>
      <w:pPr>
        <w:ind w:left="7745"/>
      </w:pPr>
      <w:rPr>
        <w:rFonts w:ascii="Cambria" w:eastAsia="Cambria" w:hAnsi="Cambria" w:cs="Cambria"/>
        <w:b w:val="0"/>
        <w:i w:val="0"/>
        <w:strike w:val="0"/>
        <w:dstrike w:val="0"/>
        <w:color w:val="222222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B0"/>
    <w:rsid w:val="00780DB7"/>
    <w:rsid w:val="00877DD4"/>
    <w:rsid w:val="00D1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36699-A71E-477D-8EF7-D47BCDE1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D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B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0D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i.gov.in/legal/circulars/jun-2024/-a-ease-of-doing-investments-non-submission-of-choice-of-nomination-_8405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ebi.gov.in/legal/circulars/jun-2024/-a-ease-of-doing-investments-non-submission-of-choice-of-nomination-_8405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ebi.gov.in/legal/circulars/jun-2024/-a-ease-of-doing-investments-non-submission-of-choice-of-nomination-_840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bi.gov.in/legal/circulars/jun-2024/-a-ease-of-doing-investments-non-submission-of-choice-of-nomination-_8405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Surabhi R</dc:creator>
  <cp:keywords/>
  <cp:lastModifiedBy>Shreya Gupta</cp:lastModifiedBy>
  <cp:revision>2</cp:revision>
  <dcterms:created xsi:type="dcterms:W3CDTF">2025-08-19T05:16:00Z</dcterms:created>
  <dcterms:modified xsi:type="dcterms:W3CDTF">2025-08-19T05:16:00Z</dcterms:modified>
</cp:coreProperties>
</file>